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7" w:rsidRDefault="000F0747" w:rsidP="000F0747">
      <w:pPr>
        <w:contextualSpacing/>
        <w:rPr>
          <w:b/>
          <w:sz w:val="16"/>
          <w:szCs w:val="16"/>
        </w:rPr>
      </w:pPr>
    </w:p>
    <w:p w:rsidR="000F0747" w:rsidRDefault="000F0747" w:rsidP="000F0747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="000E6F9A">
        <w:rPr>
          <w:b/>
          <w:sz w:val="16"/>
          <w:szCs w:val="16"/>
        </w:rPr>
        <w:t xml:space="preserve">  UZUNARK OKULU MAHAL LİSTESİ-TEKNİK ŞARTNAME</w:t>
      </w:r>
      <w:bookmarkStart w:id="0" w:name="_GoBack"/>
      <w:bookmarkEnd w:id="0"/>
      <w:r>
        <w:rPr>
          <w:b/>
          <w:sz w:val="16"/>
          <w:szCs w:val="16"/>
        </w:rPr>
        <w:t xml:space="preserve">  (TADİLAT YAPIM  İŞİ)</w:t>
      </w:r>
    </w:p>
    <w:p w:rsidR="000F0747" w:rsidRDefault="005D6761" w:rsidP="000F0747">
      <w:pPr>
        <w:contextualSpacing/>
      </w:pPr>
      <w:r>
        <w:t xml:space="preserve">                                                                                                                                                             Miktar</w:t>
      </w:r>
    </w:p>
    <w:tbl>
      <w:tblPr>
        <w:tblW w:w="868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5565"/>
        <w:gridCol w:w="567"/>
        <w:gridCol w:w="992"/>
      </w:tblGrid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15.540.1257</w:t>
            </w:r>
          </w:p>
        </w:tc>
        <w:tc>
          <w:tcPr>
            <w:tcW w:w="5565" w:type="dxa"/>
            <w:vAlign w:val="center"/>
          </w:tcPr>
          <w:p w:rsidR="000F0747" w:rsidRPr="009A04CE" w:rsidRDefault="000F0747" w:rsidP="00C53D01">
            <w:pPr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Yeni sıva yüzeylere macun ve astar uygulanarak iki kat su </w:t>
            </w:r>
            <w:proofErr w:type="gramStart"/>
            <w:r w:rsidRPr="001549F0">
              <w:rPr>
                <w:sz w:val="16"/>
                <w:szCs w:val="16"/>
              </w:rPr>
              <w:t>bazlı</w:t>
            </w:r>
            <w:proofErr w:type="gramEnd"/>
            <w:r w:rsidRPr="001549F0">
              <w:rPr>
                <w:sz w:val="16"/>
                <w:szCs w:val="16"/>
              </w:rPr>
              <w:t xml:space="preserve"> </w:t>
            </w:r>
            <w:proofErr w:type="spellStart"/>
            <w:r w:rsidRPr="001549F0">
              <w:rPr>
                <w:sz w:val="16"/>
                <w:szCs w:val="16"/>
              </w:rPr>
              <w:t>ipekmat</w:t>
            </w:r>
            <w:proofErr w:type="spellEnd"/>
            <w:r w:rsidRPr="001549F0">
              <w:rPr>
                <w:sz w:val="16"/>
                <w:szCs w:val="16"/>
              </w:rPr>
              <w:t xml:space="preserve"> boya yapılması (iç cephe)</w:t>
            </w:r>
          </w:p>
        </w:tc>
        <w:tc>
          <w:tcPr>
            <w:tcW w:w="567" w:type="dxa"/>
            <w:vAlign w:val="center"/>
          </w:tcPr>
          <w:p w:rsidR="000F0747" w:rsidRPr="009A04CE" w:rsidRDefault="000F0747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  <w:r w:rsidRPr="001549F0">
              <w:rPr>
                <w:sz w:val="16"/>
                <w:szCs w:val="16"/>
              </w:rPr>
              <w:t>²</w:t>
            </w:r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Pr="001549F0">
              <w:rPr>
                <w:sz w:val="16"/>
                <w:szCs w:val="16"/>
              </w:rPr>
              <w:t>,000</w:t>
            </w:r>
          </w:p>
        </w:tc>
      </w:tr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15.540.1324</w:t>
            </w:r>
          </w:p>
        </w:tc>
        <w:tc>
          <w:tcPr>
            <w:tcW w:w="5565" w:type="dxa"/>
            <w:vAlign w:val="center"/>
          </w:tcPr>
          <w:p w:rsidR="000F0747" w:rsidRPr="009A04CE" w:rsidRDefault="000F0747" w:rsidP="00C53D01">
            <w:pPr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Brüt beton, sıvalı veya eski boyalı yüzeylere, astar uygulanarak silikon esaslı su </w:t>
            </w:r>
            <w:proofErr w:type="gramStart"/>
            <w:r w:rsidRPr="001549F0">
              <w:rPr>
                <w:sz w:val="16"/>
                <w:szCs w:val="16"/>
              </w:rPr>
              <w:t>bazlı</w:t>
            </w:r>
            <w:proofErr w:type="gramEnd"/>
            <w:r w:rsidRPr="001549F0">
              <w:rPr>
                <w:sz w:val="16"/>
                <w:szCs w:val="16"/>
              </w:rPr>
              <w:t xml:space="preserve"> boya yapılması (dış cephe)</w:t>
            </w:r>
          </w:p>
        </w:tc>
        <w:tc>
          <w:tcPr>
            <w:tcW w:w="567" w:type="dxa"/>
            <w:vAlign w:val="center"/>
          </w:tcPr>
          <w:p w:rsidR="000F0747" w:rsidRPr="009A04CE" w:rsidRDefault="000F0747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  <w:r w:rsidRPr="001549F0">
              <w:rPr>
                <w:sz w:val="16"/>
                <w:szCs w:val="16"/>
              </w:rPr>
              <w:t>²</w:t>
            </w:r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1549F0">
              <w:rPr>
                <w:sz w:val="16"/>
                <w:szCs w:val="16"/>
              </w:rPr>
              <w:t>,000</w:t>
            </w:r>
          </w:p>
        </w:tc>
      </w:tr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15.325.1109</w:t>
            </w:r>
          </w:p>
        </w:tc>
        <w:tc>
          <w:tcPr>
            <w:tcW w:w="5565" w:type="dxa"/>
            <w:vAlign w:val="center"/>
          </w:tcPr>
          <w:p w:rsidR="000F0747" w:rsidRPr="001549F0" w:rsidRDefault="000F0747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Çelik veya ön yapımlı betonarme kiriş üzerine 0.50 mm kalınlıkta sıcak daldırma galvanizli oluklu/trapez sac ile çatı örtüsü yapılması</w:t>
            </w:r>
          </w:p>
        </w:tc>
        <w:tc>
          <w:tcPr>
            <w:tcW w:w="567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  <w:r w:rsidRPr="001549F0">
              <w:rPr>
                <w:sz w:val="16"/>
                <w:szCs w:val="16"/>
              </w:rPr>
              <w:t>²</w:t>
            </w:r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1549F0">
              <w:rPr>
                <w:sz w:val="16"/>
                <w:szCs w:val="16"/>
              </w:rPr>
              <w:t>,000</w:t>
            </w:r>
          </w:p>
        </w:tc>
      </w:tr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15.310.1103</w:t>
            </w:r>
          </w:p>
        </w:tc>
        <w:tc>
          <w:tcPr>
            <w:tcW w:w="5565" w:type="dxa"/>
            <w:vAlign w:val="center"/>
          </w:tcPr>
          <w:p w:rsidR="000F0747" w:rsidRPr="001549F0" w:rsidRDefault="000F0747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12 </w:t>
            </w:r>
            <w:proofErr w:type="spellStart"/>
            <w:r w:rsidRPr="001549F0">
              <w:rPr>
                <w:sz w:val="16"/>
                <w:szCs w:val="16"/>
              </w:rPr>
              <w:t>no'lu</w:t>
            </w:r>
            <w:proofErr w:type="spellEnd"/>
            <w:r w:rsidRPr="001549F0">
              <w:rPr>
                <w:sz w:val="16"/>
                <w:szCs w:val="16"/>
              </w:rPr>
              <w:t xml:space="preserve"> çinko levhadan 155 mm çapında yağmur oluğu yapılması ve yerine tespiti</w:t>
            </w:r>
          </w:p>
        </w:tc>
        <w:tc>
          <w:tcPr>
            <w:tcW w:w="567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549F0">
              <w:rPr>
                <w:sz w:val="16"/>
                <w:szCs w:val="16"/>
              </w:rPr>
              <w:t>,000</w:t>
            </w:r>
          </w:p>
        </w:tc>
      </w:tr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15.315.1002</w:t>
            </w:r>
          </w:p>
        </w:tc>
        <w:tc>
          <w:tcPr>
            <w:tcW w:w="5565" w:type="dxa"/>
            <w:vAlign w:val="center"/>
          </w:tcPr>
          <w:p w:rsidR="000F0747" w:rsidRPr="001549F0" w:rsidRDefault="000F0747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Ø 100 mm çapında bir ucu </w:t>
            </w:r>
            <w:proofErr w:type="spellStart"/>
            <w:r w:rsidRPr="001549F0">
              <w:rPr>
                <w:sz w:val="16"/>
                <w:szCs w:val="16"/>
              </w:rPr>
              <w:t>muflu</w:t>
            </w:r>
            <w:proofErr w:type="spellEnd"/>
            <w:r w:rsidRPr="001549F0">
              <w:rPr>
                <w:sz w:val="16"/>
                <w:szCs w:val="16"/>
              </w:rPr>
              <w:t xml:space="preserve"> sert PVC yağmur borusu temini ve yerine </w:t>
            </w:r>
            <w:proofErr w:type="spellStart"/>
            <w:r w:rsidRPr="001549F0">
              <w:rPr>
                <w:sz w:val="16"/>
                <w:szCs w:val="16"/>
              </w:rPr>
              <w:t>tesbiti</w:t>
            </w:r>
            <w:proofErr w:type="spellEnd"/>
          </w:p>
        </w:tc>
        <w:tc>
          <w:tcPr>
            <w:tcW w:w="567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549F0">
              <w:rPr>
                <w:sz w:val="16"/>
                <w:szCs w:val="16"/>
              </w:rPr>
              <w:t>m</w:t>
            </w:r>
            <w:proofErr w:type="gramEnd"/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1549F0">
              <w:rPr>
                <w:sz w:val="16"/>
                <w:szCs w:val="16"/>
              </w:rPr>
              <w:t>,000</w:t>
            </w:r>
          </w:p>
        </w:tc>
      </w:tr>
      <w:tr w:rsidR="000F0747" w:rsidRPr="001549F0" w:rsidTr="00C53D01">
        <w:trPr>
          <w:trHeight w:val="284"/>
          <w:jc w:val="center"/>
        </w:trPr>
        <w:tc>
          <w:tcPr>
            <w:tcW w:w="480" w:type="dxa"/>
            <w:vAlign w:val="center"/>
          </w:tcPr>
          <w:p w:rsidR="000F0747" w:rsidRPr="001549F0" w:rsidRDefault="000F0747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0F0747" w:rsidRPr="001549F0" w:rsidRDefault="000F0747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15.165.1003</w:t>
            </w:r>
          </w:p>
        </w:tc>
        <w:tc>
          <w:tcPr>
            <w:tcW w:w="5565" w:type="dxa"/>
            <w:vAlign w:val="center"/>
          </w:tcPr>
          <w:p w:rsidR="000F0747" w:rsidRPr="001549F0" w:rsidRDefault="000F0747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Her çeşit </w:t>
            </w:r>
            <w:proofErr w:type="gramStart"/>
            <w:r w:rsidRPr="001549F0">
              <w:rPr>
                <w:sz w:val="16"/>
                <w:szCs w:val="16"/>
              </w:rPr>
              <w:t>profil</w:t>
            </w:r>
            <w:proofErr w:type="gramEnd"/>
            <w:r w:rsidRPr="001549F0">
              <w:rPr>
                <w:sz w:val="16"/>
                <w:szCs w:val="16"/>
              </w:rPr>
              <w:t>, çelik çubuk ve çelik saclarla karkas, (çerçeve) inşaat yapılması, yerine tespiti (yapı karkası, köprülerde profil demirlerinden kirişler, başlıklar, bağlantılar ve benzeri imalatlar)</w:t>
            </w:r>
          </w:p>
        </w:tc>
        <w:tc>
          <w:tcPr>
            <w:tcW w:w="567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Ton</w:t>
            </w:r>
          </w:p>
        </w:tc>
        <w:tc>
          <w:tcPr>
            <w:tcW w:w="992" w:type="dxa"/>
            <w:vAlign w:val="center"/>
          </w:tcPr>
          <w:p w:rsidR="000F0747" w:rsidRPr="001549F0" w:rsidRDefault="000F0747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</w:tr>
    </w:tbl>
    <w:p w:rsidR="000F0747" w:rsidRDefault="000F0747" w:rsidP="000F0747">
      <w:pPr>
        <w:ind w:left="1416" w:firstLine="708"/>
        <w:contextualSpacing/>
        <w:rPr>
          <w:b/>
          <w:bCs/>
        </w:rPr>
      </w:pPr>
    </w:p>
    <w:p w:rsidR="005D6761" w:rsidRDefault="005D6761" w:rsidP="000F0747">
      <w:pPr>
        <w:ind w:left="1416" w:firstLine="708"/>
        <w:contextualSpacing/>
        <w:rPr>
          <w:b/>
          <w:bCs/>
        </w:rPr>
      </w:pPr>
    </w:p>
    <w:p w:rsidR="000F0747" w:rsidRDefault="000F0747" w:rsidP="000F0747">
      <w:pPr>
        <w:ind w:left="1416" w:firstLine="708"/>
        <w:contextualSpacing/>
        <w:rPr>
          <w:b/>
          <w:bCs/>
        </w:rPr>
      </w:pPr>
    </w:p>
    <w:p w:rsidR="000F0747" w:rsidRDefault="000F0747" w:rsidP="000F0747">
      <w:pPr>
        <w:ind w:left="1416" w:firstLine="708"/>
        <w:contextualSpacing/>
        <w:rPr>
          <w:b/>
          <w:bCs/>
        </w:rPr>
      </w:pPr>
    </w:p>
    <w:p w:rsidR="000F0747" w:rsidRDefault="000F0747" w:rsidP="000F0747">
      <w:pPr>
        <w:ind w:left="1416" w:firstLine="708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Gülay GÜLER</w:t>
      </w:r>
    </w:p>
    <w:p w:rsidR="000F0747" w:rsidRPr="000C4B70" w:rsidRDefault="000F0747" w:rsidP="000F0747">
      <w:pPr>
        <w:ind w:left="1416" w:firstLine="708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İnşaat Müh.</w:t>
      </w:r>
    </w:p>
    <w:p w:rsidR="000F0747" w:rsidRDefault="000F0747" w:rsidP="000F0747"/>
    <w:p w:rsidR="00991F1C" w:rsidRDefault="00991F1C" w:rsidP="00991F1C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DİĞER HUSUSLAR</w:t>
      </w:r>
    </w:p>
    <w:p w:rsidR="00991F1C" w:rsidRDefault="00991F1C" w:rsidP="00991F1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1-İstekliler bu işe ait teklif edeceği bedelin en az %3’ü kadar geçici banka teminatı veya Hazro Mal Müdürlüğü’nün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iban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TR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74 000 1000 526 0000 1000 5350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tahsilat hesabına “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Uzunark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İlkokulu  Onarım İş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“adı ile yatırmaları ve teklif zarfında sunmaları gerekmektedir.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2-Teklif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Mektubunda  işin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adı 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Ekap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üzerinden alınan Doğrudan Temin kayıt numarası ve isteklinin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ünvanı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adresi ve teklif edeceği bedeli rakam ve yazı ile doldurulacak olup kazıntı ve silinti olmayacaktır.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3-Teklif zarfı üzerinde İşin adı, isteklinin unvanı ve adresi yazılı olup kaşeli imzalı ve kapalı bir şekilde idaremize sunulacaktır.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4.Teklif zarfında İş bitirme belgesi olarak teklif edeceği bedelin en az %70’ni  özel veya Resmi  Yapım İşlerinde Benzer iş grupları listesinden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III.Grup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Bina İşleri belgeleri veya Üniversitelerin en az dört yıllık inşaat mühendisliği veya yüksek inşaat mühendisliği mezunları belgeleri benze iş olarak kabul edilecek olup teklif zarfında  sunacaklardır.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5-Teklif mektubunun süresi 60 gün olacaktır.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6-Teklif mektubunda teklif edeceği bedel içinde KDV hariç malzeme, işçilik, her türlü sigorta, yakıt nakliye ve resmi harçlar teklif bedele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dahil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olacaktır.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7-Teklif zarfında sunulması zorunlu belgeler: 1-Götürü bedel Teklif Mektubu,2-İş deneyim belgesi.3-Geçici Teminat </w:t>
      </w: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1F1C" w:rsidRDefault="00991F1C" w:rsidP="00991F1C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İdare bu ihaleyi yapıp yapmamakta serbesttir. Bundan dolayı yüklenici her hangi bir hak talebinde bulunmayacaktır.</w:t>
      </w:r>
    </w:p>
    <w:p w:rsidR="00991F1C" w:rsidRDefault="00991F1C" w:rsidP="00991F1C">
      <w:pPr>
        <w:rPr>
          <w:b/>
          <w:sz w:val="16"/>
          <w:szCs w:val="16"/>
        </w:rPr>
      </w:pPr>
    </w:p>
    <w:p w:rsidR="00991F1C" w:rsidRDefault="00991F1C" w:rsidP="00991F1C"/>
    <w:p w:rsidR="002C4ED2" w:rsidRDefault="002C4ED2"/>
    <w:sectPr w:rsidR="002C4ED2" w:rsidSect="004B0A42">
      <w:headerReference w:type="default" r:id="rId6"/>
      <w:footerReference w:type="default" r:id="rId7"/>
      <w:pgSz w:w="11907" w:h="16840" w:code="9"/>
      <w:pgMar w:top="567" w:right="748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80" w:rsidRDefault="00184880" w:rsidP="000F0747">
      <w:r>
        <w:separator/>
      </w:r>
    </w:p>
  </w:endnote>
  <w:endnote w:type="continuationSeparator" w:id="0">
    <w:p w:rsidR="00184880" w:rsidRDefault="00184880" w:rsidP="000F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30" w:rsidRDefault="00184880" w:rsidP="00627F30">
    <w:pPr>
      <w:rPr>
        <w:rStyle w:val="SayfaNumaras"/>
      </w:rPr>
    </w:pPr>
  </w:p>
  <w:p w:rsidR="00222FD4" w:rsidRDefault="00AA6F67" w:rsidP="00222FD4">
    <w:pPr>
      <w:jc w:val="right"/>
    </w:pPr>
    <w:proofErr w:type="spellStart"/>
    <w:r>
      <w:rPr>
        <w:color w:val="A6A6A6"/>
        <w:sz w:val="16"/>
        <w:szCs w:val="16"/>
      </w:rPr>
      <w:t>Oska</w:t>
    </w:r>
    <w:proofErr w:type="spellEnd"/>
    <w:r>
      <w:rPr>
        <w:color w:val="A6A6A6"/>
        <w:sz w:val="16"/>
        <w:szCs w:val="16"/>
      </w:rPr>
      <w:t>/010</w:t>
    </w:r>
  </w:p>
  <w:p w:rsidR="00250267" w:rsidRDefault="00184880" w:rsidP="001872A8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80" w:rsidRDefault="00184880" w:rsidP="000F0747">
      <w:r>
        <w:separator/>
      </w:r>
    </w:p>
  </w:footnote>
  <w:footnote w:type="continuationSeparator" w:id="0">
    <w:p w:rsidR="00184880" w:rsidRDefault="00184880" w:rsidP="000F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Ind w:w="38" w:type="dxa"/>
      <w:tblLook w:val="04A0" w:firstRow="1" w:lastRow="0" w:firstColumn="1" w:lastColumn="0" w:noHBand="0" w:noVBand="1"/>
    </w:tblPr>
    <w:tblGrid>
      <w:gridCol w:w="222"/>
      <w:gridCol w:w="9725"/>
    </w:tblGrid>
    <w:tr w:rsidR="00A31F1B" w:rsidTr="00A31F1B">
      <w:tc>
        <w:tcPr>
          <w:tcW w:w="50" w:type="pct"/>
          <w:vAlign w:val="center"/>
        </w:tcPr>
        <w:p w:rsidR="00A31F1B" w:rsidRDefault="00184880" w:rsidP="000A1237">
          <w:pPr>
            <w:pStyle w:val="stBilgi"/>
            <w:tabs>
              <w:tab w:val="clear" w:pos="4536"/>
              <w:tab w:val="clear" w:pos="9072"/>
              <w:tab w:val="left" w:pos="4290"/>
            </w:tabs>
            <w:contextualSpacing/>
            <w:jc w:val="center"/>
          </w:pPr>
        </w:p>
      </w:tc>
      <w:tc>
        <w:tcPr>
          <w:tcW w:w="5000" w:type="pct"/>
          <w:vAlign w:val="center"/>
        </w:tcPr>
        <w:p w:rsidR="00A31F1B" w:rsidRDefault="00AA6F67">
          <w:pPr>
            <w:autoSpaceDE w:val="0"/>
            <w:autoSpaceDN w:val="0"/>
            <w:adjustRightInd w:val="0"/>
            <w:jc w:val="cent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 xml:space="preserve">İhale </w:t>
          </w:r>
        </w:p>
        <w:p w:rsidR="00997A99" w:rsidRDefault="00AA6F67" w:rsidP="000A1237">
          <w:pPr>
            <w:pStyle w:val="stBilgi"/>
            <w:tabs>
              <w:tab w:val="clear" w:pos="4536"/>
              <w:tab w:val="clear" w:pos="9072"/>
            </w:tabs>
            <w:ind w:right="-82"/>
            <w:contextualSpacing/>
            <w:jc w:val="center"/>
          </w:pPr>
          <w:r>
            <w:rPr>
              <w:rFonts w:ascii="Verdana" w:hAnsi="Verdana"/>
              <w:b/>
              <w:sz w:val="32"/>
            </w:rPr>
            <w:t>Makamı</w:t>
          </w:r>
        </w:p>
      </w:tc>
    </w:tr>
  </w:tbl>
  <w:p w:rsidR="00F14BEC" w:rsidRPr="00570AA3" w:rsidRDefault="00AA6F67" w:rsidP="000A1237">
    <w:pPr>
      <w:pStyle w:val="KonuBal"/>
      <w:contextualSpacing/>
      <w:rPr>
        <w:rFonts w:ascii="Arial" w:hAnsi="Arial" w:cs="Arial"/>
        <w:sz w:val="24"/>
        <w:szCs w:val="24"/>
      </w:rPr>
    </w:pPr>
    <w:r w:rsidRPr="00570AA3">
      <w:rPr>
        <w:rFonts w:ascii="Arial" w:hAnsi="Arial" w:cs="Arial"/>
        <w:sz w:val="24"/>
        <w:szCs w:val="24"/>
      </w:rPr>
      <w:t>YAKLAŞIK MALİYET CETVELİ</w:t>
    </w:r>
  </w:p>
  <w:tbl>
    <w:tblPr>
      <w:tblW w:w="1039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3"/>
      <w:gridCol w:w="1054"/>
    </w:tblGrid>
    <w:tr w:rsidR="00BA13EB" w:rsidRPr="005F092A" w:rsidTr="000F0747">
      <w:trPr>
        <w:trHeight w:val="241"/>
        <w:jc w:val="center"/>
      </w:trPr>
      <w:tc>
        <w:tcPr>
          <w:tcW w:w="9343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A13EB" w:rsidRPr="005F092A" w:rsidRDefault="00AA6F67" w:rsidP="00B5188A">
          <w:pPr>
            <w:contextualSpacing/>
          </w:pPr>
          <w:r w:rsidRPr="005F092A">
            <w:rPr>
              <w:b/>
              <w:bCs/>
            </w:rPr>
            <w:t>Hazırlanma Tarihi: 0</w:t>
          </w:r>
          <w:r>
            <w:rPr>
              <w:b/>
              <w:bCs/>
            </w:rPr>
            <w:t>4</w:t>
          </w:r>
          <w:r w:rsidRPr="005F092A">
            <w:rPr>
              <w:b/>
              <w:bCs/>
            </w:rPr>
            <w:t>.11.2022</w:t>
          </w:r>
        </w:p>
      </w:tc>
      <w:tc>
        <w:tcPr>
          <w:tcW w:w="1054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A13EB" w:rsidRPr="00516D06" w:rsidRDefault="00AA6F67" w:rsidP="000A1237">
          <w:pPr>
            <w:pStyle w:val="stBilgi"/>
            <w:contextualSpacing/>
            <w:jc w:val="right"/>
          </w:pPr>
          <w:r w:rsidRPr="00516D06">
            <w:t xml:space="preserve">Sayfa </w:t>
          </w:r>
          <w:r w:rsidRPr="00516D06">
            <w:rPr>
              <w:bCs/>
            </w:rPr>
            <w:fldChar w:fldCharType="begin"/>
          </w:r>
          <w:r w:rsidRPr="00516D06">
            <w:rPr>
              <w:bCs/>
            </w:rPr>
            <w:instrText>PAGE</w:instrText>
          </w:r>
          <w:r w:rsidRPr="00516D06">
            <w:rPr>
              <w:bCs/>
            </w:rPr>
            <w:fldChar w:fldCharType="separate"/>
          </w:r>
          <w:r w:rsidR="000E6F9A">
            <w:rPr>
              <w:bCs/>
              <w:noProof/>
            </w:rPr>
            <w:t>1</w:t>
          </w:r>
          <w:r w:rsidRPr="00516D06">
            <w:rPr>
              <w:bCs/>
            </w:rPr>
            <w:fldChar w:fldCharType="end"/>
          </w:r>
          <w:r w:rsidRPr="00516D06">
            <w:t>/</w:t>
          </w:r>
          <w:r w:rsidRPr="00516D06">
            <w:rPr>
              <w:bCs/>
            </w:rPr>
            <w:fldChar w:fldCharType="begin"/>
          </w:r>
          <w:r w:rsidRPr="00516D06">
            <w:rPr>
              <w:bCs/>
            </w:rPr>
            <w:instrText>NUMPAGES</w:instrText>
          </w:r>
          <w:r w:rsidRPr="00516D06">
            <w:rPr>
              <w:bCs/>
            </w:rPr>
            <w:fldChar w:fldCharType="separate"/>
          </w:r>
          <w:r w:rsidR="000E6F9A">
            <w:rPr>
              <w:bCs/>
              <w:noProof/>
            </w:rPr>
            <w:t>1</w:t>
          </w:r>
          <w:r w:rsidRPr="00516D06">
            <w:rPr>
              <w:bCs/>
            </w:rPr>
            <w:fldChar w:fldCharType="end"/>
          </w:r>
        </w:p>
      </w:tc>
    </w:tr>
    <w:tr w:rsidR="00BA13EB" w:rsidRPr="005F092A" w:rsidTr="000F0747">
      <w:trPr>
        <w:trHeight w:val="241"/>
        <w:jc w:val="center"/>
      </w:trPr>
      <w:tc>
        <w:tcPr>
          <w:tcW w:w="10397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A13EB" w:rsidRPr="005F092A" w:rsidRDefault="00AA6F67" w:rsidP="00B5188A">
          <w:pPr>
            <w:contextualSpacing/>
            <w:rPr>
              <w:b/>
              <w:bCs/>
            </w:rPr>
          </w:pPr>
          <w:r>
            <w:rPr>
              <w:b/>
              <w:bCs/>
            </w:rPr>
            <w:t>İşin Adı</w:t>
          </w:r>
          <w:r w:rsidRPr="005F092A">
            <w:rPr>
              <w:b/>
              <w:bCs/>
            </w:rPr>
            <w:t>:</w:t>
          </w:r>
          <w:r>
            <w:rPr>
              <w:b/>
              <w:bCs/>
            </w:rPr>
            <w:t xml:space="preserve"> </w:t>
          </w:r>
          <w:r>
            <w:rPr>
              <w:bCs/>
            </w:rPr>
            <w:t>HAZRO MİLLİ EĞİTİME BAĞLI OKUL TADİLATLARI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7"/>
    <w:rsid w:val="000E6F9A"/>
    <w:rsid w:val="000F0747"/>
    <w:rsid w:val="0014630A"/>
    <w:rsid w:val="00151514"/>
    <w:rsid w:val="00184880"/>
    <w:rsid w:val="002C4ED2"/>
    <w:rsid w:val="005D6761"/>
    <w:rsid w:val="00786BA6"/>
    <w:rsid w:val="00991F1C"/>
    <w:rsid w:val="00AA6F67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B929"/>
  <w15:docId w15:val="{3AAD9BFC-2D12-4149-8B7C-B57CF0DF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47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F07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0747"/>
    <w:rPr>
      <w:rFonts w:ascii="Arial" w:eastAsia="Times New Roman" w:hAnsi="Arial" w:cs="Arial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F0747"/>
    <w:rPr>
      <w:rFonts w:ascii="Arial" w:hAnsi="Arial" w:cs="Arial"/>
      <w:sz w:val="20"/>
      <w:szCs w:val="20"/>
    </w:rPr>
  </w:style>
  <w:style w:type="paragraph" w:styleId="KonuBal">
    <w:name w:val="Title"/>
    <w:basedOn w:val="Normal"/>
    <w:link w:val="KonuBalChar"/>
    <w:uiPriority w:val="99"/>
    <w:qFormat/>
    <w:rsid w:val="000F074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F0747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paragraph" w:styleId="AltBilgi">
    <w:name w:val="footer"/>
    <w:basedOn w:val="Normal"/>
    <w:link w:val="AltBilgiChar"/>
    <w:uiPriority w:val="99"/>
    <w:rsid w:val="000F074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0F0747"/>
    <w:rPr>
      <w:rFonts w:ascii="Arial" w:eastAsia="Times New Roman" w:hAnsi="Arial" w:cs="Arial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0F07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</cp:revision>
  <dcterms:created xsi:type="dcterms:W3CDTF">2022-11-04T11:33:00Z</dcterms:created>
  <dcterms:modified xsi:type="dcterms:W3CDTF">2022-11-04T13:17:00Z</dcterms:modified>
</cp:coreProperties>
</file>